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5103"/>
        <w:rPr>
          <w:sz w:val="28"/>
          <w:szCs w:val="28"/>
        </w:rPr>
      </w:pPr>
      <w:r>
        <w:rPr>
          <w:sz w:val="28"/>
          <w:szCs w:val="28"/>
        </w:rPr>
      </w:r>
    </w:p>
    <w:p>
      <w:pPr>
        <w:pStyle w:val="Normal"/>
        <w:ind w:firstLine="5103"/>
        <w:rPr>
          <w:sz w:val="28"/>
          <w:szCs w:val="28"/>
        </w:rPr>
      </w:pPr>
      <w:r>
        <w:rPr>
          <w:sz w:val="28"/>
          <w:szCs w:val="28"/>
        </w:rPr>
      </w:r>
    </w:p>
    <w:p>
      <w:pPr>
        <w:pStyle w:val="Normal"/>
        <w:ind w:firstLine="5103"/>
        <w:rPr>
          <w:sz w:val="28"/>
          <w:szCs w:val="28"/>
        </w:rPr>
      </w:pPr>
      <w:r>
        <w:rPr>
          <w:sz w:val="28"/>
          <w:szCs w:val="28"/>
        </w:rPr>
      </w:r>
    </w:p>
    <w:p>
      <w:pPr>
        <w:pStyle w:val="Normal"/>
        <w:ind w:firstLine="5103"/>
        <w:rPr>
          <w:sz w:val="28"/>
          <w:szCs w:val="28"/>
        </w:rPr>
      </w:pPr>
      <w:r>
        <w:rPr>
          <w:sz w:val="28"/>
          <w:szCs w:val="28"/>
        </w:rPr>
      </w:r>
    </w:p>
    <w:p>
      <w:pPr>
        <w:pStyle w:val="Normal"/>
        <w:ind w:left="5387" w:right="-1" w:hanging="0"/>
        <w:rPr>
          <w:sz w:val="28"/>
          <w:szCs w:val="28"/>
        </w:rPr>
      </w:pPr>
      <w:r>
        <w:rPr>
          <w:sz w:val="28"/>
          <w:szCs w:val="28"/>
        </w:rPr>
        <w:t xml:space="preserve">Руководителям государственных </w:t>
      </w:r>
    </w:p>
    <w:p>
      <w:pPr>
        <w:pStyle w:val="Normal"/>
        <w:ind w:left="5387" w:right="-1" w:hanging="0"/>
        <w:rPr>
          <w:sz w:val="28"/>
          <w:szCs w:val="28"/>
        </w:rPr>
      </w:pPr>
      <w:r>
        <w:rPr>
          <w:sz w:val="28"/>
          <w:szCs w:val="28"/>
        </w:rPr>
        <w:t xml:space="preserve">учреждений, подведомственных </w:t>
      </w:r>
    </w:p>
    <w:p>
      <w:pPr>
        <w:pStyle w:val="Normal"/>
        <w:ind w:left="5387" w:right="-1" w:hanging="0"/>
        <w:rPr>
          <w:sz w:val="28"/>
          <w:szCs w:val="28"/>
        </w:rPr>
      </w:pPr>
      <w:r>
        <w:rPr>
          <w:sz w:val="28"/>
          <w:szCs w:val="28"/>
        </w:rPr>
        <w:t xml:space="preserve">министерству здравоохранения </w:t>
      </w:r>
    </w:p>
    <w:p>
      <w:pPr>
        <w:pStyle w:val="Normal"/>
        <w:ind w:left="5387" w:right="-1" w:hanging="0"/>
        <w:rPr>
          <w:sz w:val="28"/>
          <w:szCs w:val="28"/>
          <w:lang w:eastAsia="ru-RU"/>
        </w:rPr>
      </w:pPr>
      <w:r>
        <w:rPr>
          <w:sz w:val="28"/>
          <w:szCs w:val="28"/>
        </w:rPr>
        <w:t xml:space="preserve">Астраханской области </w:t>
      </w:r>
    </w:p>
    <w:p>
      <w:pPr>
        <w:pStyle w:val="Normal"/>
        <w:ind w:left="5387" w:right="-1" w:hanging="0"/>
        <w:rPr>
          <w:sz w:val="28"/>
          <w:szCs w:val="28"/>
        </w:rPr>
      </w:pPr>
      <w:r>
        <w:rPr>
          <w:sz w:val="28"/>
          <w:szCs w:val="28"/>
        </w:rPr>
        <w:t>(по списку)</w:t>
      </w:r>
    </w:p>
    <w:p>
      <w:pPr>
        <w:pStyle w:val="Normal"/>
        <w:ind w:left="5387" w:right="-1" w:firstLine="5103"/>
        <w:rPr>
          <w:sz w:val="28"/>
          <w:szCs w:val="28"/>
        </w:rPr>
      </w:pPr>
      <w:r>
        <w:rPr>
          <w:sz w:val="28"/>
          <w:szCs w:val="28"/>
        </w:rPr>
      </w:r>
    </w:p>
    <w:p>
      <w:pPr>
        <w:pStyle w:val="Normal"/>
        <w:ind w:right="-1" w:hanging="0"/>
        <w:jc w:val="center"/>
        <w:rPr>
          <w:sz w:val="28"/>
          <w:szCs w:val="28"/>
        </w:rPr>
      </w:pPr>
      <w:r>
        <w:rPr>
          <w:sz w:val="28"/>
          <w:szCs w:val="28"/>
        </w:rPr>
      </w:r>
    </w:p>
    <w:p>
      <w:pPr>
        <w:pStyle w:val="Normal"/>
        <w:ind w:right="-1" w:hanging="0"/>
        <w:jc w:val="both"/>
        <w:rPr>
          <w:sz w:val="28"/>
          <w:szCs w:val="28"/>
        </w:rPr>
      </w:pPr>
      <w:r>
        <w:rPr>
          <w:sz w:val="28"/>
          <w:szCs w:val="28"/>
        </w:rPr>
      </w:r>
    </w:p>
    <w:p>
      <w:pPr>
        <w:pStyle w:val="Normal"/>
        <w:ind w:right="-1" w:hanging="0"/>
        <w:jc w:val="both"/>
        <w:rPr>
          <w:sz w:val="28"/>
          <w:szCs w:val="28"/>
        </w:rPr>
      </w:pPr>
      <w:r>
        <w:rPr>
          <w:sz w:val="28"/>
          <w:szCs w:val="28"/>
        </w:rPr>
      </w:r>
    </w:p>
    <w:p>
      <w:pPr>
        <w:pStyle w:val="Normal"/>
        <w:ind w:right="-1" w:hanging="0"/>
        <w:jc w:val="both"/>
        <w:rPr>
          <w:sz w:val="28"/>
          <w:szCs w:val="28"/>
        </w:rPr>
      </w:pPr>
      <w:r>
        <w:rPr>
          <w:sz w:val="28"/>
          <w:szCs w:val="28"/>
        </w:rPr>
      </w:r>
    </w:p>
    <w:p>
      <w:pPr>
        <w:pStyle w:val="Normal"/>
        <w:ind w:right="-1" w:hanging="0"/>
        <w:jc w:val="both"/>
        <w:rPr>
          <w:sz w:val="28"/>
          <w:szCs w:val="28"/>
        </w:rPr>
      </w:pPr>
      <w:r>
        <w:rPr>
          <w:sz w:val="28"/>
          <w:szCs w:val="28"/>
        </w:rPr>
      </w:r>
    </w:p>
    <w:p>
      <w:pPr>
        <w:pStyle w:val="Normal"/>
        <w:ind w:right="-1" w:hanging="0"/>
        <w:jc w:val="both"/>
        <w:rPr>
          <w:sz w:val="28"/>
          <w:szCs w:val="28"/>
        </w:rPr>
      </w:pPr>
      <w:r>
        <w:rPr>
          <w:sz w:val="28"/>
          <w:szCs w:val="28"/>
        </w:rPr>
      </w:r>
    </w:p>
    <w:p>
      <w:pPr>
        <w:pStyle w:val="Normal"/>
        <w:ind w:right="-1" w:hanging="0"/>
        <w:jc w:val="both"/>
        <w:rPr>
          <w:sz w:val="28"/>
          <w:szCs w:val="28"/>
        </w:rPr>
      </w:pPr>
      <w:r>
        <w:rPr>
          <w:sz w:val="28"/>
          <w:szCs w:val="28"/>
        </w:rPr>
      </w:r>
    </w:p>
    <w:p>
      <w:pPr>
        <w:pStyle w:val="Normal"/>
        <w:widowControl/>
        <w:suppressAutoHyphens w:val="true"/>
        <w:bidi w:val="0"/>
        <w:spacing w:lineRule="auto" w:line="240" w:before="0" w:after="0"/>
        <w:ind w:left="0" w:right="0" w:firstLine="680"/>
        <w:jc w:val="both"/>
        <w:rPr>
          <w:sz w:val="28"/>
          <w:szCs w:val="28"/>
        </w:rPr>
      </w:pPr>
      <w:r>
        <w:rPr>
          <w:rFonts w:eastAsia="Calibri"/>
          <w:sz w:val="28"/>
          <w:szCs w:val="28"/>
          <w:lang w:eastAsia="en-US"/>
        </w:rPr>
        <w:t xml:space="preserve">В связи с принятием постановления Правительства Российской Федерации от 15.07.2022 г. №1268 «О порядке предоставления компенсационной выплаты отдельным категориям лиц, подвергающихся риску заражения новой коронавирусной инфекцией» министерство здравоохранения Астраханской области направляет форму для расчета потребности средств на выплату компенсационного характера медицинским работникам, подвергающихся риску заражения новой коронавирусной инфекцией в размере 25 % от  оклада (должностного оклада) с 01.07.2022 г. </w:t>
      </w:r>
    </w:p>
    <w:p>
      <w:pPr>
        <w:pStyle w:val="Normal"/>
        <w:spacing w:lineRule="auto" w:line="240" w:before="0" w:after="0"/>
        <w:ind w:right="-1" w:firstLine="709"/>
        <w:jc w:val="both"/>
        <w:rPr>
          <w:sz w:val="28"/>
          <w:szCs w:val="28"/>
        </w:rPr>
      </w:pPr>
      <w:r>
        <w:rPr>
          <w:rFonts w:eastAsia="Calibri" w:cs="Times New Roman"/>
          <w:sz w:val="28"/>
          <w:szCs w:val="28"/>
          <w:lang w:eastAsia="en-US"/>
        </w:rPr>
        <w:t>Указанная форма в формате Excel размещена на официальном сайте министерства здравоохранения Астраханской области в разделе «Деятельность» далее «Направления деятельности», во вкладке  «Система оплаты труда» далее «Информация для медицинских организаций». Ссылка размещения формы https://minzdrav.astrobl.ru/deyatelnost/napravleniya-deyatelnosti/sistema-oplaty-truda/informaciia-dlia-medicinskix-organizacii.</w:t>
      </w:r>
    </w:p>
    <w:p>
      <w:pPr>
        <w:pStyle w:val="Normal"/>
        <w:widowControl/>
        <w:suppressAutoHyphens w:val="true"/>
        <w:bidi w:val="0"/>
        <w:spacing w:lineRule="auto" w:line="240" w:before="0" w:after="0"/>
        <w:ind w:left="0" w:right="0" w:firstLine="680"/>
        <w:jc w:val="both"/>
        <w:rPr>
          <w:rFonts w:ascii="Times New Roman" w:hAnsi="Times New Roman" w:eastAsia="Times New Roman"/>
          <w:color w:val="000000"/>
          <w:sz w:val="28"/>
          <w:szCs w:val="28"/>
          <w:lang w:eastAsia="ru-RU"/>
        </w:rPr>
      </w:pPr>
      <w:r>
        <w:rPr>
          <w:rFonts w:eastAsia="Times New Roman"/>
          <w:color w:val="000000"/>
          <w:sz w:val="28"/>
          <w:szCs w:val="28"/>
          <w:lang w:eastAsia="ru-RU"/>
        </w:rPr>
        <w:t xml:space="preserve">Расчет потребности необходимо предоставить в срок до 26.07.2022г.                  </w:t>
      </w:r>
      <w:r>
        <w:rPr>
          <w:rFonts w:eastAsia="Times New Roman"/>
          <w:color w:val="000000"/>
          <w:sz w:val="28"/>
          <w:szCs w:val="28"/>
          <w:lang w:val="ru-RU" w:eastAsia="ru-RU"/>
        </w:rPr>
        <w:t xml:space="preserve">на адрес электронной почты </w:t>
      </w:r>
      <w:hyperlink r:id="rId2">
        <w:r>
          <w:rPr>
            <w:rFonts w:eastAsia="Times New Roman"/>
            <w:sz w:val="28"/>
            <w:szCs w:val="28"/>
            <w:lang w:val="en-US" w:eastAsia="ru-RU"/>
          </w:rPr>
          <w:t>ostatzp</w:t>
        </w:r>
        <w:r>
          <w:rPr>
            <w:rFonts w:eastAsia="Times New Roman"/>
            <w:sz w:val="28"/>
            <w:szCs w:val="28"/>
            <w:lang w:eastAsia="ru-RU"/>
          </w:rPr>
          <w:t>@</w:t>
        </w:r>
        <w:r>
          <w:rPr>
            <w:rFonts w:eastAsia="Times New Roman"/>
            <w:sz w:val="28"/>
            <w:szCs w:val="28"/>
            <w:lang w:val="en-US" w:eastAsia="ru-RU"/>
          </w:rPr>
          <w:t>mail</w:t>
        </w:r>
        <w:r>
          <w:rPr>
            <w:rFonts w:eastAsia="Times New Roman"/>
            <w:sz w:val="28"/>
            <w:szCs w:val="28"/>
            <w:lang w:eastAsia="ru-RU"/>
          </w:rPr>
          <w:t>.</w:t>
        </w:r>
        <w:r>
          <w:rPr>
            <w:rFonts w:eastAsia="Times New Roman"/>
            <w:sz w:val="28"/>
            <w:szCs w:val="28"/>
            <w:lang w:val="en-US" w:eastAsia="ru-RU"/>
          </w:rPr>
          <w:t>ru</w:t>
        </w:r>
      </w:hyperlink>
      <w:r>
        <w:rPr>
          <w:rFonts w:eastAsia="Times New Roman"/>
          <w:color w:val="000000"/>
          <w:sz w:val="28"/>
          <w:szCs w:val="28"/>
          <w:lang w:val="en-US" w:eastAsia="ru-RU"/>
        </w:rPr>
        <w:t xml:space="preserve"> </w:t>
      </w:r>
      <w:r>
        <w:rPr>
          <w:rFonts w:eastAsia="Times New Roman"/>
          <w:color w:val="000000"/>
          <w:sz w:val="28"/>
          <w:szCs w:val="28"/>
          <w:lang w:val="ru-RU" w:eastAsia="ru-RU"/>
        </w:rPr>
        <w:t>и на бумажном носителе в установленном порядке.</w:t>
      </w:r>
    </w:p>
    <w:p>
      <w:pPr>
        <w:pStyle w:val="Normal"/>
        <w:spacing w:lineRule="auto" w:line="240" w:before="0" w:after="0"/>
        <w:ind w:left="-142" w:right="-71" w:firstLine="568"/>
        <w:jc w:val="both"/>
        <w:rPr>
          <w:rFonts w:ascii="Times New Roman" w:hAnsi="Times New Roman" w:eastAsia="Times New Roman"/>
          <w:color w:val="000000"/>
          <w:sz w:val="28"/>
          <w:szCs w:val="28"/>
          <w:lang w:eastAsia="ru-RU"/>
        </w:rPr>
      </w:pPr>
      <w:r>
        <w:rPr/>
      </w:r>
    </w:p>
    <w:p>
      <w:pPr>
        <w:pStyle w:val="Normal"/>
        <w:widowControl/>
        <w:suppressAutoHyphens w:val="true"/>
        <w:bidi w:val="0"/>
        <w:spacing w:lineRule="auto" w:line="240" w:before="0" w:after="0"/>
        <w:ind w:left="0" w:right="-57" w:hanging="0"/>
        <w:jc w:val="both"/>
        <w:rPr>
          <w:rFonts w:ascii="Times New Roman" w:hAnsi="Times New Roman"/>
          <w:sz w:val="28"/>
          <w:szCs w:val="28"/>
        </w:rPr>
      </w:pPr>
      <w:r>
        <w:rPr>
          <w:sz w:val="28"/>
          <w:szCs w:val="28"/>
        </w:rPr>
        <w:t>Приложение: 2 л., в 1 экз.</w:t>
      </w:r>
    </w:p>
    <w:p>
      <w:pPr>
        <w:pStyle w:val="Normal"/>
        <w:tabs>
          <w:tab w:val="clear" w:pos="567"/>
          <w:tab w:val="right" w:pos="10204" w:leader="none"/>
        </w:tabs>
        <w:ind w:right="-143" w:hanging="0"/>
        <w:jc w:val="both"/>
        <w:rPr>
          <w:sz w:val="28"/>
          <w:szCs w:val="28"/>
        </w:rPr>
      </w:pPr>
      <w:r>
        <w:rPr>
          <w:sz w:val="28"/>
          <w:szCs w:val="28"/>
        </w:rPr>
      </w:r>
    </w:p>
    <w:p>
      <w:pPr>
        <w:pStyle w:val="Normal"/>
        <w:tabs>
          <w:tab w:val="clear" w:pos="567"/>
          <w:tab w:val="right" w:pos="10204" w:leader="none"/>
        </w:tabs>
        <w:ind w:right="-143" w:hanging="0"/>
        <w:jc w:val="both"/>
        <w:rPr>
          <w:sz w:val="28"/>
          <w:szCs w:val="28"/>
        </w:rPr>
      </w:pPr>
      <w:r>
        <w:rPr>
          <w:sz w:val="28"/>
          <w:szCs w:val="28"/>
        </w:rPr>
      </w:r>
    </w:p>
    <w:p>
      <w:pPr>
        <w:pStyle w:val="Normal"/>
        <w:tabs>
          <w:tab w:val="clear" w:pos="567"/>
          <w:tab w:val="right" w:pos="10204" w:leader="none"/>
        </w:tabs>
        <w:ind w:right="-143" w:hanging="0"/>
        <w:jc w:val="both"/>
        <w:rPr>
          <w:sz w:val="28"/>
          <w:szCs w:val="28"/>
          <w:lang w:eastAsia="ru-RU"/>
        </w:rPr>
      </w:pPr>
      <w:r>
        <w:rPr/>
      </w:r>
    </w:p>
    <w:p>
      <w:pPr>
        <w:pStyle w:val="Normal"/>
        <w:widowControl/>
        <w:tabs>
          <w:tab w:val="clear" w:pos="567"/>
          <w:tab w:val="right" w:pos="10204" w:leader="none"/>
        </w:tabs>
        <w:suppressAutoHyphens w:val="true"/>
        <w:bidi w:val="0"/>
        <w:spacing w:lineRule="auto" w:line="240" w:before="0" w:after="0"/>
        <w:ind w:left="0" w:right="0" w:hanging="0"/>
        <w:jc w:val="both"/>
        <w:rPr>
          <w:sz w:val="28"/>
          <w:szCs w:val="28"/>
          <w:lang w:eastAsia="ru-RU"/>
        </w:rPr>
      </w:pPr>
      <w:r>
        <w:rPr>
          <w:sz w:val="28"/>
          <w:szCs w:val="28"/>
        </w:rPr>
        <w:t>Заместитель министра                                                                  Е.Ю. Звезинцева</w:t>
      </w:r>
    </w:p>
    <w:p>
      <w:pPr>
        <w:pStyle w:val="Normal"/>
        <w:tabs>
          <w:tab w:val="clear" w:pos="567"/>
          <w:tab w:val="right" w:pos="10204" w:leader="none"/>
        </w:tabs>
        <w:ind w:right="-1" w:hanging="0"/>
        <w:jc w:val="both"/>
        <w:rPr>
          <w:sz w:val="28"/>
          <w:szCs w:val="28"/>
          <w:lang w:eastAsia="ru-RU"/>
        </w:rPr>
      </w:pPr>
      <w:r>
        <w:rPr>
          <w:sz w:val="28"/>
          <w:szCs w:val="28"/>
          <w:lang w:eastAsia="ru-RU"/>
        </w:rPr>
      </w:r>
    </w:p>
    <w:p>
      <w:pPr>
        <w:pStyle w:val="Normal"/>
        <w:tabs>
          <w:tab w:val="clear" w:pos="567"/>
          <w:tab w:val="right" w:pos="10204" w:leader="none"/>
        </w:tabs>
        <w:ind w:right="-1" w:hanging="0"/>
        <w:jc w:val="both"/>
        <w:rPr>
          <w:sz w:val="28"/>
          <w:szCs w:val="28"/>
          <w:lang w:eastAsia="ru-RU"/>
        </w:rPr>
      </w:pPr>
      <w:r>
        <w:rPr>
          <w:sz w:val="28"/>
          <w:szCs w:val="28"/>
          <w:lang w:eastAsia="ru-RU"/>
        </w:rPr>
      </w:r>
    </w:p>
    <w:p>
      <w:pPr>
        <w:pStyle w:val="Normal"/>
        <w:tabs>
          <w:tab w:val="clear" w:pos="567"/>
          <w:tab w:val="right" w:pos="10204" w:leader="none"/>
        </w:tabs>
        <w:ind w:right="-1" w:hanging="0"/>
        <w:jc w:val="both"/>
        <w:rPr>
          <w:sz w:val="28"/>
          <w:szCs w:val="28"/>
          <w:lang w:eastAsia="ru-RU"/>
        </w:rPr>
      </w:pPr>
      <w:r>
        <w:rPr>
          <w:sz w:val="28"/>
          <w:szCs w:val="28"/>
          <w:lang w:eastAsia="ru-RU"/>
        </w:rPr>
      </w:r>
    </w:p>
    <w:p>
      <w:pPr>
        <w:pStyle w:val="Normal"/>
        <w:tabs>
          <w:tab w:val="clear" w:pos="567"/>
          <w:tab w:val="right" w:pos="10204" w:leader="none"/>
        </w:tabs>
        <w:ind w:right="-1" w:hanging="0"/>
        <w:jc w:val="both"/>
        <w:rPr>
          <w:sz w:val="28"/>
          <w:szCs w:val="28"/>
          <w:lang w:eastAsia="ru-RU"/>
        </w:rPr>
      </w:pPr>
      <w:r>
        <w:rPr>
          <w:sz w:val="28"/>
          <w:szCs w:val="28"/>
          <w:lang w:eastAsia="ru-RU"/>
        </w:rPr>
      </w:r>
    </w:p>
    <w:p>
      <w:pPr>
        <w:pStyle w:val="Normal"/>
        <w:tabs>
          <w:tab w:val="clear" w:pos="567"/>
          <w:tab w:val="right" w:pos="10204" w:leader="none"/>
        </w:tabs>
        <w:ind w:right="-1" w:hanging="0"/>
        <w:jc w:val="both"/>
        <w:rPr>
          <w:sz w:val="28"/>
          <w:szCs w:val="28"/>
          <w:lang w:eastAsia="ru-RU"/>
        </w:rPr>
      </w:pPr>
      <w:r>
        <w:rPr>
          <w:sz w:val="28"/>
          <w:szCs w:val="28"/>
          <w:lang w:eastAsia="ru-RU"/>
        </w:rPr>
      </w:r>
    </w:p>
    <w:p>
      <w:pPr>
        <w:pStyle w:val="Normal"/>
        <w:tabs>
          <w:tab w:val="clear" w:pos="567"/>
          <w:tab w:val="right" w:pos="10204" w:leader="none"/>
        </w:tabs>
        <w:ind w:right="-1" w:hanging="0"/>
        <w:jc w:val="both"/>
        <w:rPr>
          <w:sz w:val="28"/>
          <w:szCs w:val="28"/>
          <w:lang w:eastAsia="ru-RU"/>
        </w:rPr>
      </w:pPr>
      <w:r>
        <w:rPr>
          <w:sz w:val="28"/>
          <w:szCs w:val="28"/>
          <w:lang w:eastAsia="ru-RU"/>
        </w:rPr>
      </w:r>
    </w:p>
    <w:p>
      <w:pPr>
        <w:pStyle w:val="Normal"/>
        <w:ind w:right="-1" w:hanging="0"/>
        <w:jc w:val="both"/>
        <w:rPr>
          <w:szCs w:val="28"/>
        </w:rPr>
      </w:pPr>
      <w:r>
        <w:rPr>
          <w:szCs w:val="28"/>
        </w:rPr>
        <w:t>Конофьяева Альбина Маликовна</w:t>
      </w:r>
    </w:p>
    <w:p>
      <w:pPr>
        <w:pStyle w:val="Normal"/>
        <w:ind w:right="-1" w:hanging="0"/>
        <w:jc w:val="both"/>
        <w:rPr>
          <w:sz w:val="28"/>
          <w:szCs w:val="28"/>
          <w:lang w:eastAsia="ru-RU"/>
        </w:rPr>
      </w:pPr>
      <w:r>
        <w:rPr>
          <w:szCs w:val="28"/>
        </w:rPr>
        <w:t>54-92-99</w:t>
      </w:r>
    </w:p>
    <w:sectPr>
      <w:type w:val="nextPage"/>
      <w:pgSz w:w="11906" w:h="16838"/>
      <w:pgMar w:left="1920" w:right="566" w:gutter="0" w:header="0" w:top="1134"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2d3f"/>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zh-CN" w:bidi="ar-SA"/>
    </w:rPr>
  </w:style>
  <w:style w:type="character" w:styleId="DefaultParagraphFont" w:default="1">
    <w:name w:val="Default Paragraph Font"/>
    <w:uiPriority w:val="1"/>
    <w:semiHidden/>
    <w:unhideWhenUsed/>
    <w:qFormat/>
    <w:rPr/>
  </w:style>
  <w:style w:type="character" w:styleId="Style14" w:customStyle="1">
    <w:name w:val="Текст сноски Знак"/>
    <w:basedOn w:val="DefaultParagraphFont"/>
    <w:uiPriority w:val="99"/>
    <w:semiHidden/>
    <w:qFormat/>
    <w:rsid w:val="00882cef"/>
    <w:rPr>
      <w:rFonts w:ascii="Times New Roman" w:hAnsi="Times New Roman" w:eastAsia="Times New Roman" w:cs="Times New Roman"/>
      <w:sz w:val="20"/>
      <w:szCs w:val="20"/>
      <w:lang w:eastAsia="zh-CN"/>
    </w:rPr>
  </w:style>
  <w:style w:type="character" w:styleId="Style15">
    <w:name w:val="Привязка сноски"/>
    <w:rPr>
      <w:vertAlign w:val="superscript"/>
    </w:rPr>
  </w:style>
  <w:style w:type="character" w:styleId="FootnoteCharacters">
    <w:name w:val="Footnote Characters"/>
    <w:basedOn w:val="DefaultParagraphFont"/>
    <w:uiPriority w:val="99"/>
    <w:semiHidden/>
    <w:unhideWhenUsed/>
    <w:qFormat/>
    <w:rsid w:val="00882cef"/>
    <w:rPr>
      <w:vertAlign w:val="superscript"/>
    </w:rPr>
  </w:style>
  <w:style w:type="character" w:styleId="Style16">
    <w:name w:val="Интернет-ссылка"/>
    <w:basedOn w:val="DefaultParagraphFont"/>
    <w:uiPriority w:val="99"/>
    <w:unhideWhenUsed/>
    <w:rsid w:val="00bd218b"/>
    <w:rPr>
      <w:color w:val="0563C1" w:themeColor="hyperlink"/>
      <w:u w:val="single"/>
    </w:rPr>
  </w:style>
  <w:style w:type="character" w:styleId="UnresolvedMention">
    <w:name w:val="Unresolved Mention"/>
    <w:basedOn w:val="DefaultParagraphFont"/>
    <w:uiPriority w:val="99"/>
    <w:semiHidden/>
    <w:unhideWhenUsed/>
    <w:qFormat/>
    <w:rsid w:val="00bd218b"/>
    <w:rPr>
      <w:color w:val="605E5C"/>
      <w:shd w:fill="E1DFDD" w:val="clear"/>
    </w:rPr>
  </w:style>
  <w:style w:type="character" w:styleId="Style17">
    <w:name w:val="Посещённая гиперссылка"/>
    <w:basedOn w:val="DefaultParagraphFont"/>
    <w:rPr>
      <w:color w:val="800080" w:themeColor="followedHyperlink"/>
      <w:u w:val="single"/>
    </w:rPr>
  </w:style>
  <w:style w:type="character" w:styleId="1">
    <w:name w:val="Неразрешенное упоминание1"/>
    <w:qFormat/>
    <w:rPr>
      <w:color w:val="605E5C"/>
      <w:shd w:fill="E1DFDD" w:val="clear"/>
    </w:rPr>
  </w:style>
  <w:style w:type="character" w:styleId="Style18">
    <w:name w:val="Текст выноски Знак"/>
    <w:qFormat/>
    <w:rPr>
      <w:rFonts w:ascii="Tahoma" w:hAnsi="Tahoma" w:cs="Tahoma"/>
      <w:sz w:val="16"/>
      <w:szCs w:val="16"/>
    </w:rPr>
  </w:style>
  <w:style w:type="paragraph" w:styleId="Style19">
    <w:name w:val="Заголовок"/>
    <w:basedOn w:val="Normal"/>
    <w:next w:val="Style20"/>
    <w:qFormat/>
    <w:pPr>
      <w:keepNext w:val="true"/>
      <w:spacing w:before="240" w:after="120"/>
    </w:pPr>
    <w:rPr>
      <w:rFonts w:ascii="Liberation Sans" w:hAnsi="Liberation Sans" w:eastAsia="Microsoft YaHei" w:cs="Arial Unicode MS"/>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Unicode MS"/>
    </w:rPr>
  </w:style>
  <w:style w:type="paragraph" w:styleId="Style22">
    <w:name w:val="Caption"/>
    <w:basedOn w:val="Normal"/>
    <w:qFormat/>
    <w:pPr>
      <w:suppressLineNumbers/>
      <w:spacing w:before="120" w:after="120"/>
    </w:pPr>
    <w:rPr>
      <w:rFonts w:cs="Arial Unicode MS"/>
      <w:i/>
      <w:iCs/>
      <w:sz w:val="24"/>
      <w:szCs w:val="24"/>
    </w:rPr>
  </w:style>
  <w:style w:type="paragraph" w:styleId="Style23">
    <w:name w:val="Указатель"/>
    <w:basedOn w:val="Normal"/>
    <w:qFormat/>
    <w:pPr>
      <w:suppressLineNumbers/>
    </w:pPr>
    <w:rPr>
      <w:rFonts w:cs="Arial Unicode MS"/>
      <w:lang w:val="zxx" w:eastAsia="zxx" w:bidi="zxx"/>
    </w:rPr>
  </w:style>
  <w:style w:type="paragraph" w:styleId="ListParagraph">
    <w:name w:val="List Paragraph"/>
    <w:basedOn w:val="Normal"/>
    <w:uiPriority w:val="34"/>
    <w:qFormat/>
    <w:rsid w:val="008719ae"/>
    <w:pPr>
      <w:spacing w:before="0" w:after="0"/>
      <w:ind w:left="720" w:hanging="0"/>
      <w:contextualSpacing/>
    </w:pPr>
    <w:rPr/>
  </w:style>
  <w:style w:type="paragraph" w:styleId="Style24">
    <w:name w:val="Footnote Text"/>
    <w:basedOn w:val="Normal"/>
    <w:link w:val="Style14"/>
    <w:uiPriority w:val="99"/>
    <w:semiHidden/>
    <w:unhideWhenUsed/>
    <w:rsid w:val="00882cef"/>
    <w:pPr/>
    <w:rPr>
      <w:sz w:val="20"/>
      <w:szCs w:val="20"/>
    </w:rPr>
  </w:style>
  <w:style w:type="paragraph" w:styleId="Standard">
    <w:name w:val="Standard"/>
    <w:qFormat/>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ru-RU" w:eastAsia="zh-CN" w:bidi="hi-IN"/>
    </w:rPr>
  </w:style>
  <w:style w:type="paragraph" w:styleId="BalloonText">
    <w:name w:val="Balloon Text"/>
    <w:basedOn w:val="Normal"/>
    <w:qFormat/>
    <w:pPr>
      <w:spacing w:lineRule="exact" w:line="240" w:before="0" w:after="0"/>
    </w:pPr>
    <w:rPr>
      <w:rFonts w:ascii="Tahoma" w:hAnsi="Tahoma" w:cs="Tahoma"/>
      <w:sz w:val="16"/>
      <w:szCs w:val="16"/>
    </w:rPr>
  </w:style>
  <w:style w:type="paragraph" w:styleId="Indexheading">
    <w:name w:val="index heading"/>
    <w:basedOn w:val="Normal"/>
    <w:qFormat/>
    <w:pPr/>
    <w:rPr>
      <w:rFonts w:ascii="Times New Roman" w:hAnsi="Times New Roman"/>
    </w:rPr>
  </w:style>
  <w:style w:type="paragraph" w:styleId="Caption">
    <w:name w:val="caption"/>
    <w:basedOn w:val="Normal"/>
    <w:qFormat/>
    <w:pPr>
      <w:spacing w:before="120" w:after="120"/>
    </w:pPr>
    <w:rPr>
      <w:rFonts w:ascii="Times New Roman" w:hAnsi="Times New Roman"/>
      <w:i/>
      <w:i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ostatzp@mail.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9CD94-86B1-4969-A5A3-3BEEF636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Application>LibreOffice/7.3.1.3$Windows_X86_64 LibreOffice_project/a69ca51ded25f3eefd52d7bf9a5fad8c90b87951</Application>
  <AppVersion>15.0000</AppVersion>
  <Pages>1</Pages>
  <Words>136</Words>
  <Characters>1168</Characters>
  <CharactersWithSpaces>1381</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Маркелова Алина Михайловна</dc:creator>
  <dc:description/>
  <dc:language>ru-RU</dc:language>
  <cp:lastModifiedBy/>
  <cp:lastPrinted>2022-07-19T14:00:48Z</cp:lastPrinted>
  <dcterms:modified xsi:type="dcterms:W3CDTF">2022-07-19T14:04:06Z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